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C242" w14:textId="77777777" w:rsidR="00B0662C" w:rsidRDefault="00373F4D">
      <w:r>
        <w:rPr>
          <w:noProof/>
        </w:rPr>
        <w:drawing>
          <wp:inline distT="0" distB="0" distL="0" distR="0" wp14:anchorId="4973E599" wp14:editId="7E3C02D5">
            <wp:extent cx="2849837" cy="356231"/>
            <wp:effectExtent l="0" t="0" r="7663" b="5719"/>
            <wp:docPr id="2" name="Picture 1" descr="C:\Users\secretariatg\AppData\Local\Microsoft\Windows\INetCache\Content.Word\SOMETRA-LOGOTYPE-04.04.18-RGB-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837" cy="3562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3D847A1" w14:textId="77777777" w:rsidR="00B0662C" w:rsidRDefault="00B0662C"/>
    <w:p w14:paraId="6B40A34F" w14:textId="77777777" w:rsidR="00B0662C" w:rsidRDefault="00B0662C"/>
    <w:p w14:paraId="29C5F3E7" w14:textId="06DEBD54" w:rsidR="00B0662C" w:rsidRDefault="00373F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RAPORT ANUAL DE REMUNERARE A ADMINISTRATORILOR SI DIRECTORULUI GENERAL AI S.C. SOMETRA SA COPSA-MICA pe anul 2022</w:t>
      </w:r>
    </w:p>
    <w:p w14:paraId="2A2AB578" w14:textId="77777777" w:rsidR="00B0662C" w:rsidRDefault="00B0662C">
      <w:pPr>
        <w:jc w:val="both"/>
        <w:rPr>
          <w:rFonts w:ascii="Times New Roman" w:hAnsi="Times New Roman"/>
          <w:b/>
          <w:sz w:val="24"/>
          <w:szCs w:val="24"/>
        </w:rPr>
      </w:pPr>
    </w:p>
    <w:p w14:paraId="43807A2F" w14:textId="77777777" w:rsidR="00B0662C" w:rsidRDefault="00B0662C">
      <w:pPr>
        <w:jc w:val="both"/>
        <w:rPr>
          <w:rFonts w:ascii="Times New Roman" w:hAnsi="Times New Roman"/>
          <w:b/>
          <w:sz w:val="24"/>
          <w:szCs w:val="24"/>
        </w:rPr>
      </w:pPr>
    </w:p>
    <w:p w14:paraId="32DC42C1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Prezentul raport a fost întocmit in conformitate cu politica de remunerare a</w:t>
      </w:r>
      <w:r>
        <w:rPr>
          <w:rFonts w:ascii="Times New Roman" w:hAnsi="Times New Roman"/>
          <w:bCs/>
          <w:sz w:val="24"/>
          <w:szCs w:val="24"/>
        </w:rPr>
        <w:t xml:space="preserve"> S.C. Sometra SA</w:t>
      </w:r>
      <w:r>
        <w:rPr>
          <w:rFonts w:ascii="Times New Roman" w:hAnsi="Times New Roman"/>
          <w:sz w:val="24"/>
          <w:szCs w:val="24"/>
        </w:rPr>
        <w:t xml:space="preserve">, societate pe acțiuni, care </w:t>
      </w:r>
      <w:r>
        <w:rPr>
          <w:rFonts w:ascii="Times New Roman" w:hAnsi="Times New Roman"/>
          <w:sz w:val="24"/>
          <w:szCs w:val="24"/>
        </w:rPr>
        <w:t>funcționează in conformitate cu legile din Romania, cu sediul social in Loc. Copșa Mica, Oraș Copșa Mica, Str. Fabricilor nr. 1, Județ Sibiu, înregistrată la Registrul Comerțului sub nr. J32/124/1991, având Identificator Unic la Nivel European (EUID) ROONR</w:t>
      </w:r>
      <w:r>
        <w:rPr>
          <w:rFonts w:ascii="Times New Roman" w:hAnsi="Times New Roman"/>
          <w:sz w:val="24"/>
          <w:szCs w:val="24"/>
        </w:rPr>
        <w:t>C.J32/124/1991, cod unic de înregistrare 813526 („</w:t>
      </w:r>
      <w:r>
        <w:rPr>
          <w:rFonts w:ascii="Times New Roman" w:hAnsi="Times New Roman"/>
          <w:i/>
          <w:iCs/>
          <w:sz w:val="24"/>
          <w:szCs w:val="24"/>
        </w:rPr>
        <w:t>Societatea</w:t>
      </w:r>
      <w:r>
        <w:rPr>
          <w:rFonts w:ascii="Times New Roman" w:hAnsi="Times New Roman"/>
          <w:sz w:val="24"/>
          <w:szCs w:val="24"/>
        </w:rPr>
        <w:t>” sau „</w:t>
      </w:r>
      <w:r>
        <w:rPr>
          <w:rFonts w:ascii="Times New Roman" w:hAnsi="Times New Roman"/>
          <w:i/>
          <w:iCs/>
          <w:sz w:val="24"/>
          <w:szCs w:val="24"/>
        </w:rPr>
        <w:t>Sometra</w:t>
      </w:r>
      <w:r>
        <w:rPr>
          <w:rFonts w:ascii="Times New Roman" w:hAnsi="Times New Roman"/>
          <w:sz w:val="24"/>
          <w:szCs w:val="24"/>
        </w:rPr>
        <w:t>”) aprobata de Consiliul de Administrație al Societăţii si de Adunarea generala ordinara anuala a acționarilor Societăţii din 15.04.2022, in conformitate cu art. 92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din Legea nr. 24</w:t>
      </w:r>
      <w:r>
        <w:rPr>
          <w:rFonts w:ascii="Times New Roman" w:hAnsi="Times New Roman"/>
          <w:sz w:val="24"/>
          <w:szCs w:val="24"/>
        </w:rPr>
        <w:t>/2017 privind emitenții de instrumente financiare si operațiuni de piața, cu modificările si completările ulterioare („</w:t>
      </w:r>
      <w:r>
        <w:rPr>
          <w:rFonts w:ascii="Times New Roman" w:hAnsi="Times New Roman"/>
          <w:i/>
          <w:iCs/>
          <w:sz w:val="24"/>
          <w:szCs w:val="24"/>
        </w:rPr>
        <w:t>Legea Emitenților</w:t>
      </w:r>
      <w:r>
        <w:rPr>
          <w:rFonts w:ascii="Times New Roman" w:hAnsi="Times New Roman"/>
          <w:sz w:val="24"/>
          <w:szCs w:val="24"/>
        </w:rPr>
        <w:t>”).</w:t>
      </w:r>
    </w:p>
    <w:p w14:paraId="46F9AC3F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Administratorii Neexecutivi ai Societăţii nu primesc vreo remunerație fixa sau variabila pentru aceste funcții sau, </w:t>
      </w:r>
      <w:r>
        <w:rPr>
          <w:rFonts w:ascii="Times New Roman" w:hAnsi="Times New Roman"/>
          <w:sz w:val="24"/>
          <w:szCs w:val="24"/>
        </w:rPr>
        <w:t>după caz, pentru orice alte funcții specifice in cadrul Consiliului de Administrație.</w:t>
      </w:r>
    </w:p>
    <w:p w14:paraId="7351C753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Administratorii Neexecutivi nu au alte beneficii, cu excepția decontării cheltuielilor legate de executarea mandatului, precum, dar fără a se limita la: cheltuieli de tra</w:t>
      </w:r>
      <w:r>
        <w:rPr>
          <w:rFonts w:ascii="Times New Roman" w:hAnsi="Times New Roman"/>
          <w:sz w:val="24"/>
          <w:szCs w:val="24"/>
        </w:rPr>
        <w:t>nsport, in interiorul si in afara României, diurna, cheltuieli de cazare, pe baza documentelor justificative si cu respectarea prevederilor legale aplicabile.</w:t>
      </w:r>
    </w:p>
    <w:p w14:paraId="23589E36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Administratorii Neexecutivi nu beneficiază de contribuții la sistemul public de pensii din Romani</w:t>
      </w:r>
      <w:r>
        <w:rPr>
          <w:rFonts w:ascii="Times New Roman" w:hAnsi="Times New Roman"/>
          <w:sz w:val="24"/>
          <w:szCs w:val="24"/>
        </w:rPr>
        <w:t>a, nici la pilonul II al sistemului de pensii din Romania (i.e. fondurile de pensii administrate privat) si nici la sistemele facultative de pensii.</w:t>
      </w:r>
    </w:p>
    <w:p w14:paraId="19BA3631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Societatea nu a încheiat contracte de asigurare de răspundere profesionala pentru Administratorii Neexecuti</w:t>
      </w:r>
      <w:r>
        <w:rPr>
          <w:rFonts w:ascii="Times New Roman" w:hAnsi="Times New Roman"/>
          <w:sz w:val="24"/>
          <w:szCs w:val="24"/>
        </w:rPr>
        <w:t>vi ai Societăţii.</w:t>
      </w:r>
    </w:p>
    <w:p w14:paraId="17BDAE99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Directorul General al Societăţii, este administrator executiv al Societăţii, si are calitatea de director in conformitate cu prevederile art. 143 din Legea Societăților.</w:t>
      </w:r>
    </w:p>
    <w:p w14:paraId="62DFF148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Directorul are dreptul la o remunerație lunara fixa aferenta activit</w:t>
      </w:r>
      <w:r>
        <w:rPr>
          <w:rFonts w:ascii="Times New Roman" w:hAnsi="Times New Roman"/>
          <w:sz w:val="24"/>
          <w:szCs w:val="24"/>
        </w:rPr>
        <w:t>ății in cadrul Societăţii, aprobata de Consiliul de Administrație al Societăţii. Remunerația fixa lunara neta este de 5.000 Euro.</w:t>
      </w:r>
    </w:p>
    <w:p w14:paraId="44383EDB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Directorul General nu beneficiază de remunerație variabila.</w:t>
      </w:r>
    </w:p>
    <w:p w14:paraId="3CD04062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Directorul General are următoarele beneficii: </w:t>
      </w:r>
    </w:p>
    <w:p w14:paraId="1C42CDDD" w14:textId="77777777" w:rsidR="00B0662C" w:rsidRDefault="00373F4D">
      <w:pPr>
        <w:numPr>
          <w:ilvl w:val="0"/>
          <w:numId w:val="3"/>
        </w:num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 supliment lunar </w:t>
      </w:r>
      <w:r>
        <w:rPr>
          <w:rFonts w:ascii="Times New Roman" w:hAnsi="Times New Roman"/>
          <w:sz w:val="24"/>
          <w:szCs w:val="24"/>
        </w:rPr>
        <w:t>pentru locuință, in valoare de 800 Euro, plătibil in RON;</w:t>
      </w:r>
    </w:p>
    <w:p w14:paraId="49E05E18" w14:textId="77777777" w:rsidR="00B0662C" w:rsidRDefault="00373F4D">
      <w:pPr>
        <w:numPr>
          <w:ilvl w:val="0"/>
          <w:numId w:val="3"/>
        </w:num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utilizarea a 4 (patru) bilete dus-întors in Grecia pe an, la clasa economica; si</w:t>
      </w:r>
    </w:p>
    <w:p w14:paraId="3F868B25" w14:textId="77777777" w:rsidR="00B0662C" w:rsidRDefault="00373F4D">
      <w:pPr>
        <w:numPr>
          <w:ilvl w:val="0"/>
          <w:numId w:val="3"/>
        </w:num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decontarea cheltuielilor legate de executarea mandatului, precum, dar fără a se limita la: cheltuieli de transport, i</w:t>
      </w:r>
      <w:r>
        <w:rPr>
          <w:rFonts w:ascii="Times New Roman" w:hAnsi="Times New Roman"/>
          <w:sz w:val="24"/>
          <w:szCs w:val="24"/>
        </w:rPr>
        <w:t>n interiorul si in afara României, diurna, cheltuieli de cazare, pe baza documentelor justificative si cu respectarea prevederilor legale aplicabile.</w:t>
      </w:r>
    </w:p>
    <w:p w14:paraId="2794EEC6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Pentru îndeplinirea atribuțiilor care ii revin, Directorul General are dreptul sa utilizeze un telefon mob</w:t>
      </w:r>
      <w:r>
        <w:rPr>
          <w:rFonts w:ascii="Times New Roman" w:hAnsi="Times New Roman"/>
          <w:sz w:val="24"/>
          <w:szCs w:val="24"/>
        </w:rPr>
        <w:t>il, un laptop si un autoturism de serviciu, plus 250 l de combustibil pe luna.</w:t>
      </w:r>
    </w:p>
    <w:p w14:paraId="1798DDBA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 excepția participării la sistemul public de pensii si, implicit, la pilonul II al sistemului de pensii din Romania (i.e. fondurile de pensii administrate privat), Directorul </w:t>
      </w:r>
      <w:r>
        <w:rPr>
          <w:rFonts w:ascii="Times New Roman" w:hAnsi="Times New Roman"/>
          <w:sz w:val="24"/>
          <w:szCs w:val="24"/>
        </w:rPr>
        <w:t>nu beneficiază de contribuții la sistemele facultative de pensii.</w:t>
      </w:r>
    </w:p>
    <w:p w14:paraId="5E7EDA19" w14:textId="77777777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Societatea nu a încheiat un contract de asigurare de răspundere profesionala pentru Directorul General al Societăţii.</w:t>
      </w:r>
    </w:p>
    <w:p w14:paraId="4381CD65" w14:textId="0BA422F8" w:rsidR="00B0662C" w:rsidRDefault="00373F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Astfel pentru anul 2022</w:t>
      </w:r>
      <w:r>
        <w:rPr>
          <w:rFonts w:ascii="Times New Roman" w:hAnsi="Times New Roman"/>
          <w:sz w:val="24"/>
          <w:szCs w:val="24"/>
        </w:rPr>
        <w:t>, remunerațiile acordate Administratorilor neexec</w:t>
      </w:r>
      <w:r>
        <w:rPr>
          <w:rFonts w:ascii="Times New Roman" w:hAnsi="Times New Roman"/>
          <w:sz w:val="24"/>
          <w:szCs w:val="24"/>
        </w:rPr>
        <w:t>utivi si Administratorului executiv/Director General, sunt prezentate in tabelul anexat.</w:t>
      </w:r>
    </w:p>
    <w:p w14:paraId="65B16D23" w14:textId="77777777" w:rsidR="00B0662C" w:rsidRDefault="00B0662C">
      <w:pPr>
        <w:jc w:val="center"/>
        <w:rPr>
          <w:rFonts w:ascii="Times New Roman" w:hAnsi="Times New Roman"/>
          <w:sz w:val="24"/>
          <w:szCs w:val="24"/>
        </w:rPr>
      </w:pPr>
    </w:p>
    <w:p w14:paraId="62B4C290" w14:textId="77777777" w:rsidR="00B0662C" w:rsidRDefault="00B0662C">
      <w:pPr>
        <w:jc w:val="center"/>
        <w:rPr>
          <w:rFonts w:ascii="Times New Roman" w:hAnsi="Times New Roman"/>
          <w:sz w:val="24"/>
          <w:szCs w:val="24"/>
        </w:rPr>
      </w:pPr>
    </w:p>
    <w:p w14:paraId="4B98E8E7" w14:textId="77777777" w:rsidR="00B0662C" w:rsidRDefault="00373F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PRESEDINTE CONSILIU DE ADMINISTRATIE</w:t>
      </w:r>
    </w:p>
    <w:p w14:paraId="442BB08C" w14:textId="77777777" w:rsidR="00B0662C" w:rsidRDefault="00373F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Christos Efstathiadis</w:t>
      </w:r>
      <w:r>
        <w:rPr>
          <w:rFonts w:ascii="Times New Roman" w:hAnsi="Times New Roman"/>
          <w:b/>
          <w:sz w:val="24"/>
          <w:szCs w:val="24"/>
        </w:rPr>
        <w:tab/>
      </w:r>
    </w:p>
    <w:p w14:paraId="5B20C166" w14:textId="77777777" w:rsidR="00B0662C" w:rsidRDefault="00B0662C">
      <w:pPr>
        <w:jc w:val="both"/>
        <w:rPr>
          <w:sz w:val="24"/>
          <w:szCs w:val="24"/>
        </w:rPr>
      </w:pPr>
    </w:p>
    <w:p w14:paraId="12A85E65" w14:textId="77777777" w:rsidR="00B0662C" w:rsidRDefault="00B0662C">
      <w:pPr>
        <w:jc w:val="both"/>
        <w:rPr>
          <w:sz w:val="24"/>
          <w:szCs w:val="24"/>
        </w:rPr>
      </w:pPr>
    </w:p>
    <w:p w14:paraId="6039F13A" w14:textId="77777777" w:rsidR="00B0662C" w:rsidRDefault="00B0662C">
      <w:pPr>
        <w:jc w:val="both"/>
        <w:rPr>
          <w:sz w:val="24"/>
          <w:szCs w:val="24"/>
        </w:rPr>
      </w:pPr>
    </w:p>
    <w:p w14:paraId="29E8222D" w14:textId="77777777" w:rsidR="00B0662C" w:rsidRDefault="00B0662C"/>
    <w:sectPr w:rsidR="00B0662C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AE530" w14:textId="77777777" w:rsidR="00B0662C" w:rsidRDefault="00373F4D">
      <w:pPr>
        <w:spacing w:after="0" w:line="240" w:lineRule="auto"/>
      </w:pPr>
      <w:r>
        <w:separator/>
      </w:r>
    </w:p>
  </w:endnote>
  <w:endnote w:type="continuationSeparator" w:id="0">
    <w:p w14:paraId="426E097C" w14:textId="77777777" w:rsidR="00B0662C" w:rsidRDefault="0037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171"/>
      <w:gridCol w:w="235"/>
    </w:tblGrid>
    <w:tr w:rsidR="00B0662C" w14:paraId="39562700" w14:textId="77777777">
      <w:trPr>
        <w:jc w:val="center"/>
      </w:trPr>
      <w:tc>
        <w:tcPr>
          <w:tcW w:w="9171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14:paraId="4550B289" w14:textId="77777777" w:rsidR="00B0662C" w:rsidRDefault="00373F4D">
          <w:r>
            <w:rPr>
              <w:noProof/>
            </w:rPr>
            <w:drawing>
              <wp:inline distT="0" distB="0" distL="0" distR="0" wp14:anchorId="4DD285E1" wp14:editId="2066F251">
                <wp:extent cx="6412796" cy="218441"/>
                <wp:effectExtent l="0" t="0" r="7054" b="0"/>
                <wp:docPr id="1" name="Pictur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2796" cy="218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14:paraId="43DE119A" w14:textId="77777777" w:rsidR="00B0662C" w:rsidRDefault="00B0662C"/>
      </w:tc>
    </w:tr>
  </w:tbl>
  <w:p w14:paraId="3922ED9D" w14:textId="77777777" w:rsidR="00B0662C" w:rsidRDefault="00373F4D">
    <w:pPr>
      <w:pStyle w:val="Footer"/>
      <w:jc w:val="both"/>
    </w:pPr>
    <w:r>
      <w:rPr>
        <w:b/>
        <w:sz w:val="20"/>
        <w:szCs w:val="20"/>
      </w:rPr>
      <w:t xml:space="preserve">   E: </w:t>
    </w:r>
    <w:hyperlink r:id="rId2" w:history="1">
      <w:r>
        <w:rPr>
          <w:rStyle w:val="Hyperlink"/>
          <w:sz w:val="20"/>
          <w:szCs w:val="20"/>
        </w:rPr>
        <w:t>info@sometra.ro</w:t>
      </w:r>
    </w:hyperlink>
    <w:r>
      <w:rPr>
        <w:sz w:val="20"/>
        <w:szCs w:val="20"/>
      </w:rPr>
      <w:tab/>
    </w:r>
    <w:r>
      <w:rPr>
        <w:b/>
        <w:sz w:val="20"/>
        <w:szCs w:val="20"/>
      </w:rPr>
      <w:t xml:space="preserve">A: </w:t>
    </w:r>
    <w:r>
      <w:rPr>
        <w:sz w:val="20"/>
        <w:szCs w:val="20"/>
      </w:rPr>
      <w:t>Copsa Mica, str. Fabricilor nr. 1</w:t>
    </w:r>
  </w:p>
  <w:p w14:paraId="0C0265DF" w14:textId="77777777" w:rsidR="00B0662C" w:rsidRDefault="00373F4D">
    <w:pPr>
      <w:pStyle w:val="Footer"/>
      <w:jc w:val="both"/>
    </w:pPr>
    <w:r>
      <w:rPr>
        <w:b/>
        <w:sz w:val="20"/>
        <w:szCs w:val="20"/>
      </w:rPr>
      <w:t xml:space="preserve">   T: </w:t>
    </w:r>
    <w:r>
      <w:rPr>
        <w:sz w:val="20"/>
        <w:szCs w:val="20"/>
      </w:rPr>
      <w:t>+40 269 840320</w:t>
    </w:r>
    <w:r>
      <w:rPr>
        <w:sz w:val="20"/>
        <w:szCs w:val="20"/>
      </w:rPr>
      <w:tab/>
      <w:t>cod 555400, jud. Sibiu, Romania</w:t>
    </w:r>
    <w:r>
      <w:rPr>
        <w:sz w:val="20"/>
        <w:szCs w:val="20"/>
      </w:rPr>
      <w:tab/>
    </w:r>
    <w:hyperlink r:id="rId3" w:history="1">
      <w:r>
        <w:rPr>
          <w:rStyle w:val="Hyperlink"/>
          <w:sz w:val="20"/>
          <w:szCs w:val="20"/>
        </w:rPr>
        <w:t>www.sometra.ro</w:t>
      </w:r>
    </w:hyperlink>
  </w:p>
  <w:p w14:paraId="530ADA93" w14:textId="77777777" w:rsidR="00B0662C" w:rsidRDefault="00373F4D">
    <w:pPr>
      <w:pStyle w:val="Footer"/>
      <w:jc w:val="both"/>
    </w:pPr>
    <w:r>
      <w:rPr>
        <w:b/>
        <w:sz w:val="20"/>
        <w:szCs w:val="20"/>
      </w:rPr>
      <w:t xml:space="preserve">   F: </w:t>
    </w:r>
    <w:r>
      <w:rPr>
        <w:sz w:val="20"/>
        <w:szCs w:val="20"/>
      </w:rPr>
      <w:t>+40 269 840325, 6</w:t>
    </w:r>
    <w:r>
      <w:rPr>
        <w:sz w:val="20"/>
        <w:szCs w:val="20"/>
      </w:rPr>
      <w:tab/>
    </w:r>
  </w:p>
  <w:p w14:paraId="62702CF1" w14:textId="77777777" w:rsidR="00B0662C" w:rsidRDefault="00B0662C">
    <w:pPr>
      <w:pStyle w:val="Footer"/>
    </w:pPr>
  </w:p>
  <w:p w14:paraId="0478F6D7" w14:textId="77777777" w:rsidR="00B0662C" w:rsidRDefault="00B0662C">
    <w:pPr>
      <w:pStyle w:val="Footer"/>
      <w:jc w:val="both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A6EE" w14:textId="77777777" w:rsidR="00B0662C" w:rsidRDefault="00373F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E3E1C4" w14:textId="77777777" w:rsidR="00B0662C" w:rsidRDefault="00373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2746B" w14:textId="77777777" w:rsidR="00B0662C" w:rsidRDefault="00B06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A60ACF"/>
    <w:multiLevelType w:val="hybridMultilevel"/>
    <w:tmpl w:val="B1A0D0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950DB"/>
    <w:multiLevelType w:val="hybridMultilevel"/>
    <w:tmpl w:val="36222C1E"/>
    <w:lvl w:ilvl="0" w:tplc="5CE095E0">
      <w:start w:val="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12419">
    <w:abstractNumId w:val="2"/>
  </w:num>
  <w:num w:numId="2" w16cid:durableId="576786951">
    <w:abstractNumId w:val="0"/>
  </w:num>
  <w:num w:numId="3" w16cid:durableId="1524511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62C"/>
    <w:rsid w:val="00046E5F"/>
    <w:rsid w:val="00373F4D"/>
    <w:rsid w:val="00B0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6055"/>
  <w15:docId w15:val="{7198DAF5-E78D-4A2F-A6B3-D09B557F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autoSpaceDN/>
      <w:spacing w:after="0" w:line="240" w:lineRule="auto"/>
      <w:jc w:val="both"/>
      <w:textAlignment w:val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val="0563C1"/>
      <w:u w:val="single"/>
    </w:rPr>
  </w:style>
  <w:style w:type="table" w:styleId="TableGrid">
    <w:name w:val="Table Grid"/>
    <w:basedOn w:val="TableNormal"/>
    <w:uiPriority w:val="39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metra.ro" TargetMode="External"/><Relationship Id="rId2" Type="http://schemas.openxmlformats.org/officeDocument/2006/relationships/hyperlink" Target="mailto:info@sometra.ro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dc:description/>
  <cp:lastModifiedBy>Emi Socobean</cp:lastModifiedBy>
  <cp:revision>3</cp:revision>
  <cp:lastPrinted>2018-04-16T07:28:00Z</cp:lastPrinted>
  <dcterms:created xsi:type="dcterms:W3CDTF">2023-03-08T12:12:00Z</dcterms:created>
  <dcterms:modified xsi:type="dcterms:W3CDTF">2023-03-08T12:13:00Z</dcterms:modified>
</cp:coreProperties>
</file>